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p>
    <w:p w:rsidR="007B0684" w:rsidRPr="00A71DE1" w:rsidRDefault="007B0684" w:rsidP="007B0684">
      <w:pPr>
        <w:spacing w:line="480" w:lineRule="auto"/>
        <w:jc w:val="center"/>
        <w:rPr>
          <w:rFonts w:ascii="Times New Roman" w:hAnsi="Times New Roman" w:cs="Times New Roman"/>
          <w:sz w:val="24"/>
          <w:szCs w:val="24"/>
        </w:rPr>
      </w:pPr>
      <w:r w:rsidRPr="00A71DE1">
        <w:rPr>
          <w:rFonts w:ascii="Times New Roman" w:hAnsi="Times New Roman" w:cs="Times New Roman"/>
          <w:sz w:val="24"/>
          <w:szCs w:val="24"/>
        </w:rPr>
        <w:t>Healthcare, Administration and Laws</w:t>
      </w:r>
    </w:p>
    <w:p w:rsidR="007B0684" w:rsidRPr="00A71DE1" w:rsidRDefault="007B0684" w:rsidP="007B0684">
      <w:pPr>
        <w:spacing w:line="480" w:lineRule="auto"/>
        <w:jc w:val="center"/>
        <w:rPr>
          <w:rFonts w:ascii="Times New Roman" w:hAnsi="Times New Roman" w:cs="Times New Roman"/>
          <w:sz w:val="24"/>
          <w:szCs w:val="24"/>
        </w:rPr>
      </w:pPr>
      <w:r w:rsidRPr="00A71DE1">
        <w:rPr>
          <w:rFonts w:ascii="Times New Roman" w:hAnsi="Times New Roman" w:cs="Times New Roman"/>
          <w:sz w:val="24"/>
          <w:szCs w:val="24"/>
        </w:rPr>
        <w:t>Name</w:t>
      </w:r>
    </w:p>
    <w:p w:rsidR="007B0684" w:rsidRPr="00A71DE1" w:rsidRDefault="007B0684" w:rsidP="007B0684">
      <w:pPr>
        <w:spacing w:line="480" w:lineRule="auto"/>
        <w:jc w:val="center"/>
        <w:rPr>
          <w:rFonts w:ascii="Times New Roman" w:hAnsi="Times New Roman" w:cs="Times New Roman"/>
          <w:sz w:val="24"/>
          <w:szCs w:val="24"/>
        </w:rPr>
      </w:pPr>
      <w:r w:rsidRPr="00A71DE1">
        <w:rPr>
          <w:rFonts w:ascii="Times New Roman" w:hAnsi="Times New Roman" w:cs="Times New Roman"/>
          <w:sz w:val="24"/>
          <w:szCs w:val="24"/>
        </w:rPr>
        <w:t>Institution</w:t>
      </w:r>
    </w:p>
    <w:p w:rsidR="007B0684" w:rsidRPr="00A71DE1" w:rsidRDefault="007B0684" w:rsidP="007B0684">
      <w:pPr>
        <w:spacing w:line="480" w:lineRule="auto"/>
        <w:jc w:val="center"/>
        <w:rPr>
          <w:rFonts w:ascii="Times New Roman" w:hAnsi="Times New Roman" w:cs="Times New Roman"/>
          <w:sz w:val="24"/>
          <w:szCs w:val="24"/>
        </w:rPr>
      </w:pPr>
      <w:r w:rsidRPr="00A71DE1">
        <w:rPr>
          <w:rFonts w:ascii="Times New Roman" w:hAnsi="Times New Roman" w:cs="Times New Roman"/>
          <w:sz w:val="24"/>
          <w:szCs w:val="24"/>
        </w:rPr>
        <w:t>Date</w:t>
      </w:r>
    </w:p>
    <w:p w:rsidR="007B0684" w:rsidRPr="00A71DE1" w:rsidRDefault="007B0684">
      <w:pPr>
        <w:rPr>
          <w:rFonts w:ascii="Times New Roman" w:hAnsi="Times New Roman" w:cs="Times New Roman"/>
          <w:sz w:val="24"/>
          <w:szCs w:val="24"/>
        </w:rPr>
      </w:pPr>
      <w:r w:rsidRPr="00A71DE1">
        <w:rPr>
          <w:rFonts w:ascii="Times New Roman" w:hAnsi="Times New Roman" w:cs="Times New Roman"/>
          <w:sz w:val="24"/>
          <w:szCs w:val="24"/>
        </w:rPr>
        <w:br w:type="page"/>
      </w:r>
    </w:p>
    <w:p w:rsidR="005E5C22" w:rsidRPr="00A71DE1" w:rsidRDefault="005E5C22" w:rsidP="00824F24">
      <w:pPr>
        <w:spacing w:line="480" w:lineRule="auto"/>
        <w:jc w:val="center"/>
        <w:rPr>
          <w:rFonts w:ascii="Times New Roman" w:hAnsi="Times New Roman" w:cs="Times New Roman"/>
          <w:sz w:val="24"/>
          <w:szCs w:val="24"/>
        </w:rPr>
      </w:pPr>
      <w:r w:rsidRPr="00A71DE1">
        <w:rPr>
          <w:rFonts w:ascii="Times New Roman" w:hAnsi="Times New Roman" w:cs="Times New Roman"/>
          <w:sz w:val="24"/>
          <w:szCs w:val="24"/>
        </w:rPr>
        <w:lastRenderedPageBreak/>
        <w:t>Healthcare</w:t>
      </w:r>
      <w:r w:rsidR="007B0684" w:rsidRPr="00A71DE1">
        <w:rPr>
          <w:rFonts w:ascii="Times New Roman" w:hAnsi="Times New Roman" w:cs="Times New Roman"/>
          <w:sz w:val="24"/>
          <w:szCs w:val="24"/>
        </w:rPr>
        <w:t>, Administration and L</w:t>
      </w:r>
      <w:r w:rsidRPr="00A71DE1">
        <w:rPr>
          <w:rFonts w:ascii="Times New Roman" w:hAnsi="Times New Roman" w:cs="Times New Roman"/>
          <w:sz w:val="24"/>
          <w:szCs w:val="24"/>
        </w:rPr>
        <w:t>aws</w:t>
      </w:r>
    </w:p>
    <w:p w:rsidR="00C15A76" w:rsidRPr="00A71DE1" w:rsidRDefault="00C15A76" w:rsidP="00824F24">
      <w:pPr>
        <w:spacing w:line="480" w:lineRule="auto"/>
        <w:jc w:val="center"/>
        <w:rPr>
          <w:rFonts w:ascii="Times New Roman" w:hAnsi="Times New Roman" w:cs="Times New Roman"/>
          <w:b/>
          <w:sz w:val="24"/>
          <w:szCs w:val="24"/>
        </w:rPr>
      </w:pPr>
      <w:r w:rsidRPr="00A71DE1">
        <w:rPr>
          <w:rFonts w:ascii="Times New Roman" w:hAnsi="Times New Roman" w:cs="Times New Roman"/>
          <w:b/>
          <w:sz w:val="24"/>
          <w:szCs w:val="24"/>
        </w:rPr>
        <w:t>Question 1</w:t>
      </w:r>
    </w:p>
    <w:p w:rsidR="00824F24" w:rsidRPr="00A71DE1" w:rsidRDefault="00824F24" w:rsidP="00824F24">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 xml:space="preserve">Modern medicine has improved the health of the public significantly for more than a century and a half. The nature of medicine before the nineteenth century can be said to be governed by superstition and mysticism (Showalter, 2012). Various ancient beliefs and cultures regarding the benefits of medicine were hardly embraced, and as such, people had little knowledge concerning natural disease processes. The most crucial development in the history of medicine is the discovery of anesthesia. The discovery of anesthesia was conducted by John C. Warren and William T. Morton after they performed the first successful public demonstration (Showalter, 2012). Through the use of diethyl ether, the two doctors were able to remove a tumor from a patient’s jaw, and as such, the patient confessed that he felt no pain. After the procedure, it was clear that the beginning of painless dentistry and surgery had officially started. </w:t>
      </w:r>
    </w:p>
    <w:p w:rsidR="00824F24" w:rsidRPr="00A71DE1" w:rsidRDefault="00824F24" w:rsidP="00824F24">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 xml:space="preserve">Further, chloroform consequently became the most common form of general anesthetic in dental anesthetic and British surgical practice (Showalter, 2012). In today’s provision of healthcare, the use of chloroform has been replaced by more active agents that reduce pain such as isoflurane. The use of general anesthesia in healthcare has reached to the point of arguably becoming a standard method to relieve pain in conducting medical procedures. Although anesthesia has effectively been used in practice for more than 170 years, there still exist questions regarding the state of unconsciousness that affects patients. Therefore, more research is required to ensure that rates and chances of being unconscious are zero. </w:t>
      </w:r>
    </w:p>
    <w:p w:rsidR="00824F24" w:rsidRPr="00A71DE1" w:rsidRDefault="00824F24" w:rsidP="00824F24">
      <w:pPr>
        <w:spacing w:line="480" w:lineRule="auto"/>
        <w:rPr>
          <w:rFonts w:ascii="Times New Roman" w:hAnsi="Times New Roman" w:cs="Times New Roman"/>
          <w:sz w:val="24"/>
          <w:szCs w:val="24"/>
          <w:lang w:val="en-US"/>
        </w:rPr>
      </w:pPr>
    </w:p>
    <w:p w:rsidR="001A6D50" w:rsidRDefault="001A6D50" w:rsidP="00824F24">
      <w:pPr>
        <w:spacing w:line="480" w:lineRule="auto"/>
        <w:jc w:val="center"/>
        <w:rPr>
          <w:rFonts w:ascii="Times New Roman" w:hAnsi="Times New Roman" w:cs="Times New Roman"/>
          <w:b/>
          <w:sz w:val="24"/>
          <w:szCs w:val="24"/>
          <w:lang w:val="en-US"/>
        </w:rPr>
      </w:pPr>
    </w:p>
    <w:p w:rsidR="00824F24" w:rsidRPr="00A71DE1" w:rsidRDefault="00824F24" w:rsidP="00824F24">
      <w:pPr>
        <w:spacing w:line="480" w:lineRule="auto"/>
        <w:jc w:val="center"/>
        <w:rPr>
          <w:rFonts w:ascii="Times New Roman" w:hAnsi="Times New Roman" w:cs="Times New Roman"/>
          <w:b/>
          <w:sz w:val="24"/>
          <w:szCs w:val="24"/>
          <w:lang w:val="en-US"/>
        </w:rPr>
      </w:pPr>
      <w:r w:rsidRPr="00A71DE1">
        <w:rPr>
          <w:rFonts w:ascii="Times New Roman" w:hAnsi="Times New Roman" w:cs="Times New Roman"/>
          <w:b/>
          <w:sz w:val="24"/>
          <w:szCs w:val="24"/>
          <w:lang w:val="en-US"/>
        </w:rPr>
        <w:lastRenderedPageBreak/>
        <w:t>Question 2</w:t>
      </w:r>
    </w:p>
    <w:p w:rsidR="00824F24" w:rsidRPr="00A71DE1" w:rsidRDefault="00824F24" w:rsidP="00824F24">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State laws tend to differ regarding the solutions that give rise to emergency hearings in the clinical setting. According to Showalter (2012), many states demand that emergency hearings to be held in cases where the health of the patient is at risk or stake. One of the cases that a hospital might need to resort to an emergency hearing is when a child battling leukemia is forced to get chemotherapy. In such a case, the child’s parents may be against the idea of their son</w:t>
      </w:r>
      <w:r w:rsidR="00A05739" w:rsidRPr="00A71DE1">
        <w:rPr>
          <w:rFonts w:ascii="Times New Roman" w:hAnsi="Times New Roman" w:cs="Times New Roman"/>
          <w:sz w:val="24"/>
          <w:szCs w:val="24"/>
          <w:lang w:val="en-US"/>
        </w:rPr>
        <w:t xml:space="preserve"> or daughter</w:t>
      </w:r>
      <w:r w:rsidRPr="00A71DE1">
        <w:rPr>
          <w:rFonts w:ascii="Times New Roman" w:hAnsi="Times New Roman" w:cs="Times New Roman"/>
          <w:sz w:val="24"/>
          <w:szCs w:val="24"/>
          <w:lang w:val="en-US"/>
        </w:rPr>
        <w:t xml:space="preserve"> undergoing traditional chemotherapy treatment since they feel that the process will do no good. Instead, they </w:t>
      </w:r>
      <w:r w:rsidR="00A05739" w:rsidRPr="00A71DE1">
        <w:rPr>
          <w:rFonts w:ascii="Times New Roman" w:hAnsi="Times New Roman" w:cs="Times New Roman"/>
          <w:sz w:val="24"/>
          <w:szCs w:val="24"/>
          <w:lang w:val="en-US"/>
        </w:rPr>
        <w:t>would want their child</w:t>
      </w:r>
      <w:r w:rsidRPr="00A71DE1">
        <w:rPr>
          <w:rFonts w:ascii="Times New Roman" w:hAnsi="Times New Roman" w:cs="Times New Roman"/>
          <w:sz w:val="24"/>
          <w:szCs w:val="24"/>
          <w:lang w:val="en-US"/>
        </w:rPr>
        <w:t xml:space="preserve"> to be treated with a more organic approach, such as the use of cannabis since it is an upgrade of traditional treatmen</w:t>
      </w:r>
      <w:r w:rsidR="00A05739" w:rsidRPr="00A71DE1">
        <w:rPr>
          <w:rFonts w:ascii="Times New Roman" w:hAnsi="Times New Roman" w:cs="Times New Roman"/>
          <w:sz w:val="24"/>
          <w:szCs w:val="24"/>
          <w:lang w:val="en-US"/>
        </w:rPr>
        <w:t>ts. Also, the authorities would consider calling</w:t>
      </w:r>
      <w:r w:rsidRPr="00A71DE1">
        <w:rPr>
          <w:rFonts w:ascii="Times New Roman" w:hAnsi="Times New Roman" w:cs="Times New Roman"/>
          <w:sz w:val="24"/>
          <w:szCs w:val="24"/>
          <w:lang w:val="en-US"/>
        </w:rPr>
        <w:t xml:space="preserve"> out urgent alerts insisting the patient needed lifesaving medical care. Therefore, the hospital will be forced to consult a judge for an emergency hearing in which he will consider to both sides of the case before a major decision is given. </w:t>
      </w:r>
    </w:p>
    <w:p w:rsidR="00824F24"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Another case that might make a hospital to resort to an emergency hearing is a patient who prefers traditional medicine over modern medications as a result of his cultures and beliefs (Showalter, 2012). Since cultures and beliefs are part of the provision of healthcare, some patients may tend to reject some medical interventions. A patient may embrace the fact that traditional medicine is better than modern medicine since it works for them. For critical conditions, physicians may feel reluctant to use traditional medications in case they are not working. On the same note, the patient may seek legal consent, and as such, an emergency hearing may take place to argue out the case.</w:t>
      </w:r>
    </w:p>
    <w:p w:rsidR="00A05739" w:rsidRPr="00A71DE1" w:rsidRDefault="00A05739" w:rsidP="00824F24">
      <w:pPr>
        <w:spacing w:line="480" w:lineRule="auto"/>
        <w:rPr>
          <w:rFonts w:ascii="Times New Roman" w:hAnsi="Times New Roman" w:cs="Times New Roman"/>
          <w:sz w:val="24"/>
          <w:szCs w:val="24"/>
          <w:lang w:val="en-US"/>
        </w:rPr>
      </w:pPr>
    </w:p>
    <w:p w:rsidR="00A05739" w:rsidRPr="00A71DE1" w:rsidRDefault="00A05739" w:rsidP="00824F24">
      <w:pPr>
        <w:spacing w:line="480" w:lineRule="auto"/>
        <w:rPr>
          <w:rFonts w:ascii="Times New Roman" w:hAnsi="Times New Roman" w:cs="Times New Roman"/>
          <w:sz w:val="24"/>
          <w:szCs w:val="24"/>
          <w:lang w:val="en-US"/>
        </w:rPr>
      </w:pPr>
    </w:p>
    <w:p w:rsidR="001A6D50" w:rsidRDefault="001A6D50" w:rsidP="00A05739">
      <w:pPr>
        <w:spacing w:line="480" w:lineRule="auto"/>
        <w:jc w:val="center"/>
        <w:rPr>
          <w:rFonts w:ascii="Times New Roman" w:hAnsi="Times New Roman" w:cs="Times New Roman"/>
          <w:b/>
          <w:sz w:val="24"/>
          <w:szCs w:val="24"/>
          <w:lang w:val="en-US"/>
        </w:rPr>
      </w:pPr>
    </w:p>
    <w:p w:rsidR="00824F24" w:rsidRPr="00A71DE1" w:rsidRDefault="00824F24" w:rsidP="00A05739">
      <w:pPr>
        <w:spacing w:line="480" w:lineRule="auto"/>
        <w:jc w:val="center"/>
        <w:rPr>
          <w:rFonts w:ascii="Times New Roman" w:hAnsi="Times New Roman" w:cs="Times New Roman"/>
          <w:b/>
          <w:sz w:val="24"/>
          <w:szCs w:val="24"/>
          <w:lang w:val="en-US"/>
        </w:rPr>
      </w:pPr>
      <w:r w:rsidRPr="00A71DE1">
        <w:rPr>
          <w:rFonts w:ascii="Times New Roman" w:hAnsi="Times New Roman" w:cs="Times New Roman"/>
          <w:b/>
          <w:sz w:val="24"/>
          <w:szCs w:val="24"/>
          <w:lang w:val="en-US"/>
        </w:rPr>
        <w:lastRenderedPageBreak/>
        <w:t>Question 3</w:t>
      </w:r>
    </w:p>
    <w:p w:rsidR="00A05739"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 xml:space="preserve">For the case of Simkins v. Moses H. Cone Memorial Hospital, the use of legal opinions took place at the Court of Appeal. According to Showalter (2012), the Court of Appeal stated that there was extensive use of public funds, </w:t>
      </w:r>
      <w:r w:rsidR="00A05739" w:rsidRPr="00A71DE1">
        <w:rPr>
          <w:rFonts w:ascii="Times New Roman" w:hAnsi="Times New Roman" w:cs="Times New Roman"/>
          <w:sz w:val="24"/>
          <w:szCs w:val="24"/>
          <w:lang w:val="en-US"/>
        </w:rPr>
        <w:t>and as such,</w:t>
      </w:r>
      <w:r w:rsidRPr="00A71DE1">
        <w:rPr>
          <w:rFonts w:ascii="Times New Roman" w:hAnsi="Times New Roman" w:cs="Times New Roman"/>
          <w:sz w:val="24"/>
          <w:szCs w:val="24"/>
          <w:lang w:val="en-US"/>
        </w:rPr>
        <w:t xml:space="preserve"> the federal-state sharing was realistic</w:t>
      </w:r>
      <w:r w:rsidR="00A05739" w:rsidRPr="00A71DE1">
        <w:rPr>
          <w:rFonts w:ascii="Times New Roman" w:hAnsi="Times New Roman" w:cs="Times New Roman"/>
          <w:sz w:val="24"/>
          <w:szCs w:val="24"/>
          <w:lang w:val="en-US"/>
        </w:rPr>
        <w:t xml:space="preserve"> and reasonable</w:t>
      </w:r>
      <w:r w:rsidRPr="00A71DE1">
        <w:rPr>
          <w:rFonts w:ascii="Times New Roman" w:hAnsi="Times New Roman" w:cs="Times New Roman"/>
          <w:sz w:val="24"/>
          <w:szCs w:val="24"/>
          <w:lang w:val="en-US"/>
        </w:rPr>
        <w:t xml:space="preserve">. Further, the judge continued to state that public money was appropriated to fund comprehensive government plans, which resulted in the accomplishment of separate but equal, </w:t>
      </w:r>
      <w:r w:rsidR="00A05739" w:rsidRPr="00A71DE1">
        <w:rPr>
          <w:rFonts w:ascii="Times New Roman" w:hAnsi="Times New Roman" w:cs="Times New Roman"/>
          <w:sz w:val="24"/>
          <w:szCs w:val="24"/>
          <w:lang w:val="en-US"/>
        </w:rPr>
        <w:t>although</w:t>
      </w:r>
      <w:r w:rsidRPr="00A71DE1">
        <w:rPr>
          <w:rFonts w:ascii="Times New Roman" w:hAnsi="Times New Roman" w:cs="Times New Roman"/>
          <w:sz w:val="24"/>
          <w:szCs w:val="24"/>
          <w:lang w:val="en-US"/>
        </w:rPr>
        <w:t xml:space="preserve"> it lacked quality. However, the district court ruled that the case lacked evidence </w:t>
      </w:r>
      <w:r w:rsidR="00A05739" w:rsidRPr="00A71DE1">
        <w:rPr>
          <w:rFonts w:ascii="Times New Roman" w:hAnsi="Times New Roman" w:cs="Times New Roman"/>
          <w:sz w:val="24"/>
          <w:szCs w:val="24"/>
          <w:lang w:val="en-US"/>
        </w:rPr>
        <w:t xml:space="preserve">and concreteness </w:t>
      </w:r>
      <w:r w:rsidRPr="00A71DE1">
        <w:rPr>
          <w:rFonts w:ascii="Times New Roman" w:hAnsi="Times New Roman" w:cs="Times New Roman"/>
          <w:sz w:val="24"/>
          <w:szCs w:val="24"/>
          <w:lang w:val="en-US"/>
        </w:rPr>
        <w:t>hence dismissing it. As part of the evidence, the first application was that discrimination to both patients and physicians at Jame</w:t>
      </w:r>
      <w:r w:rsidR="001A6D50">
        <w:rPr>
          <w:rFonts w:ascii="Times New Roman" w:hAnsi="Times New Roman" w:cs="Times New Roman"/>
          <w:sz w:val="24"/>
          <w:szCs w:val="24"/>
          <w:lang w:val="en-US"/>
        </w:rPr>
        <w:t>s Walker Hospital (Reynolds, 2017</w:t>
      </w:r>
      <w:r w:rsidRPr="00A71DE1">
        <w:rPr>
          <w:rFonts w:ascii="Times New Roman" w:hAnsi="Times New Roman" w:cs="Times New Roman"/>
          <w:sz w:val="24"/>
          <w:szCs w:val="24"/>
          <w:lang w:val="en-US"/>
        </w:rPr>
        <w:t xml:space="preserve">). The judge went further to claim that the hospital paid no taxes, yet it was granted to the city in the form of a public facility. </w:t>
      </w:r>
    </w:p>
    <w:p w:rsidR="00A05739"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One of the positive implications of licensing laws is that it advocated for equality in the provision of care for all races regardless of their skin colors</w:t>
      </w:r>
      <w:r w:rsidR="00A05739" w:rsidRPr="00A71DE1">
        <w:rPr>
          <w:rFonts w:ascii="Times New Roman" w:hAnsi="Times New Roman" w:cs="Times New Roman"/>
          <w:sz w:val="24"/>
          <w:szCs w:val="24"/>
          <w:lang w:val="en-US"/>
        </w:rPr>
        <w:t>, origin and beliefs</w:t>
      </w:r>
      <w:r w:rsidRPr="00A71DE1">
        <w:rPr>
          <w:rFonts w:ascii="Times New Roman" w:hAnsi="Times New Roman" w:cs="Times New Roman"/>
          <w:sz w:val="24"/>
          <w:szCs w:val="24"/>
          <w:lang w:val="en-US"/>
        </w:rPr>
        <w:t xml:space="preserve">. The Civil Rights Act of 1964 and the Civil Rights Act of 1875 impacted healthcare positively since they encouraged the importance of providing equal care to all American citizens. On the same note, the laws were keen on illegalizing discrimination by color, sex, origin, and sex, since everyone was regarded as equal. As a result, healthcare was positively impacted since Americans were guaranteed comprehensive </w:t>
      </w:r>
      <w:r w:rsidR="00A05739" w:rsidRPr="00A71DE1">
        <w:rPr>
          <w:rFonts w:ascii="Times New Roman" w:hAnsi="Times New Roman" w:cs="Times New Roman"/>
          <w:sz w:val="24"/>
          <w:szCs w:val="24"/>
          <w:lang w:val="en-US"/>
        </w:rPr>
        <w:t xml:space="preserve">and timely care regardless at any particular time. </w:t>
      </w:r>
      <w:r w:rsidRPr="00A71DE1">
        <w:rPr>
          <w:rFonts w:ascii="Times New Roman" w:hAnsi="Times New Roman" w:cs="Times New Roman"/>
          <w:sz w:val="24"/>
          <w:szCs w:val="24"/>
          <w:lang w:val="en-US"/>
        </w:rPr>
        <w:t xml:space="preserve">Again, the laws positively impacted healthcare since they allowed African Americans to acquire equal treatment with different public accommodations as well as prohibited exclusion from jury services and public transportation. In general, the public was protected from unnecessary court proceedings, and as such, they were guaranteed of comprehensive care that Native Americans received. </w:t>
      </w:r>
    </w:p>
    <w:p w:rsidR="00824F24"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lastRenderedPageBreak/>
        <w:t>However, the case raises questions whether the Constitution allows the Congress to allow the ‘‘separate but equal’’ as long as different racial groups based on federal-state progra</w:t>
      </w:r>
      <w:r w:rsidR="001A6D50">
        <w:rPr>
          <w:rFonts w:ascii="Times New Roman" w:hAnsi="Times New Roman" w:cs="Times New Roman"/>
          <w:sz w:val="24"/>
          <w:szCs w:val="24"/>
          <w:lang w:val="en-US"/>
        </w:rPr>
        <w:t>ms are concerned (Reynolds, 2017</w:t>
      </w:r>
      <w:r w:rsidRPr="00A71DE1">
        <w:rPr>
          <w:rFonts w:ascii="Times New Roman" w:hAnsi="Times New Roman" w:cs="Times New Roman"/>
          <w:sz w:val="24"/>
          <w:szCs w:val="24"/>
          <w:lang w:val="en-US"/>
        </w:rPr>
        <w:t xml:space="preserve">). Although the United States holds the fact that that the constitution does not allow inequality in the provision of care, the provisions of the Hill-Burton Act tend to violate the Fifth Amendment. Also, the Hill-Burton Act is not neutral regarding the issue of racial discrimination. According to Showalter (2012), Congress was unable to incorporate standard based on race, and it also allowed racial discrimination through state-connected institutions, and as such, the Fourteenth Amendment was violated. Before the Court of Appeal overturned the case, the Fourteenth Amendment was violated since people were denied protection while their laws were violated. The violation of law had a negative impact on healthcare since blacks were sidelined during the delivery of care as a result of their color and origin. </w:t>
      </w:r>
      <w:r w:rsidR="00A05739" w:rsidRPr="00A71DE1">
        <w:rPr>
          <w:rFonts w:ascii="Times New Roman" w:hAnsi="Times New Roman" w:cs="Times New Roman"/>
          <w:sz w:val="24"/>
          <w:szCs w:val="24"/>
          <w:lang w:val="en-US"/>
        </w:rPr>
        <w:t xml:space="preserve">Such a case shows the differences in the interpretation of facts, Amendments and evidence by different courts during ruling a sensitive case. </w:t>
      </w:r>
    </w:p>
    <w:p w:rsidR="00824F24"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t>Tillich’s methodology is governed by the framework of love, power, and justice. Love, power, and justice are related by ethics meaning that the three aspects must respect the interests of the public as far as rights, choices, and freedom are concerned. Love can be said to be a drive that attracts reunion, and as such, it has been separated from human be</w:t>
      </w:r>
      <w:r w:rsidR="001A6D50">
        <w:rPr>
          <w:rFonts w:ascii="Times New Roman" w:hAnsi="Times New Roman" w:cs="Times New Roman"/>
          <w:sz w:val="24"/>
          <w:szCs w:val="24"/>
          <w:lang w:val="en-US"/>
        </w:rPr>
        <w:t>ings. According to Tillich (2015</w:t>
      </w:r>
      <w:r w:rsidRPr="00A71DE1">
        <w:rPr>
          <w:rFonts w:ascii="Times New Roman" w:hAnsi="Times New Roman" w:cs="Times New Roman"/>
          <w:sz w:val="24"/>
          <w:szCs w:val="24"/>
          <w:lang w:val="en-US"/>
        </w:rPr>
        <w:t>), power encompasses increasing the extensity and intensity, while justice is a form of being in reunion. Also, Tillich</w:t>
      </w:r>
      <w:r w:rsidR="001A6D50">
        <w:rPr>
          <w:rFonts w:ascii="Times New Roman" w:hAnsi="Times New Roman" w:cs="Times New Roman"/>
          <w:sz w:val="24"/>
          <w:szCs w:val="24"/>
          <w:lang w:val="en-US"/>
        </w:rPr>
        <w:t xml:space="preserve"> (2015</w:t>
      </w:r>
      <w:r w:rsidR="00147565">
        <w:rPr>
          <w:rFonts w:ascii="Times New Roman" w:hAnsi="Times New Roman" w:cs="Times New Roman"/>
          <w:sz w:val="24"/>
          <w:szCs w:val="24"/>
          <w:lang w:val="en-US"/>
        </w:rPr>
        <w:t>)</w:t>
      </w:r>
      <w:r w:rsidRPr="00A71DE1">
        <w:rPr>
          <w:rFonts w:ascii="Times New Roman" w:hAnsi="Times New Roman" w:cs="Times New Roman"/>
          <w:sz w:val="24"/>
          <w:szCs w:val="24"/>
          <w:lang w:val="en-US"/>
        </w:rPr>
        <w:t xml:space="preserve"> advocates for love and justice, which leads to justice. The </w:t>
      </w:r>
      <w:r w:rsidR="001A6D50" w:rsidRPr="00A71DE1">
        <w:rPr>
          <w:rFonts w:ascii="Times New Roman" w:hAnsi="Times New Roman" w:cs="Times New Roman"/>
          <w:sz w:val="24"/>
          <w:szCs w:val="24"/>
          <w:lang w:val="en-US"/>
        </w:rPr>
        <w:t>aspect of justice exists</w:t>
      </w:r>
      <w:r w:rsidRPr="00A71DE1">
        <w:rPr>
          <w:rFonts w:ascii="Times New Roman" w:hAnsi="Times New Roman" w:cs="Times New Roman"/>
          <w:sz w:val="24"/>
          <w:szCs w:val="24"/>
          <w:lang w:val="en-US"/>
        </w:rPr>
        <w:t xml:space="preserve"> in many forms, but equality is arguably the most significant one. Justice in healthcare calls for the administration of care for all races regardless of the social aspects that govern them. Justice and equality should be exercised in healthcare, and as such, the African-American and the Native Americans should enjoy the same rights. </w:t>
      </w:r>
    </w:p>
    <w:p w:rsidR="00824F24" w:rsidRPr="00A71DE1" w:rsidRDefault="00824F24" w:rsidP="00A05739">
      <w:pPr>
        <w:spacing w:line="480" w:lineRule="auto"/>
        <w:ind w:firstLine="720"/>
        <w:rPr>
          <w:rFonts w:ascii="Times New Roman" w:hAnsi="Times New Roman" w:cs="Times New Roman"/>
          <w:sz w:val="24"/>
          <w:szCs w:val="24"/>
          <w:lang w:val="en-US"/>
        </w:rPr>
      </w:pPr>
      <w:r w:rsidRPr="00A71DE1">
        <w:rPr>
          <w:rFonts w:ascii="Times New Roman" w:hAnsi="Times New Roman" w:cs="Times New Roman"/>
          <w:sz w:val="24"/>
          <w:szCs w:val="24"/>
          <w:lang w:val="en-US"/>
        </w:rPr>
        <w:lastRenderedPageBreak/>
        <w:t xml:space="preserve">The description of ‘creative justice’ also allows us to have clear insights on how God can be just and merciful at the same time. In other words, God is seen as a symbol in which love and justice are exercised among human beings of all races. The same concept should be applied in the provision of </w:t>
      </w:r>
      <w:r w:rsidR="00D330FA" w:rsidRPr="00A71DE1">
        <w:rPr>
          <w:rFonts w:ascii="Times New Roman" w:hAnsi="Times New Roman" w:cs="Times New Roman"/>
          <w:sz w:val="24"/>
          <w:szCs w:val="24"/>
          <w:lang w:val="en-US"/>
        </w:rPr>
        <w:t xml:space="preserve">equal opportunities in </w:t>
      </w:r>
      <w:r w:rsidRPr="00A71DE1">
        <w:rPr>
          <w:rFonts w:ascii="Times New Roman" w:hAnsi="Times New Roman" w:cs="Times New Roman"/>
          <w:sz w:val="24"/>
          <w:szCs w:val="24"/>
          <w:lang w:val="en-US"/>
        </w:rPr>
        <w:t>health, as mentioned in the case of Simkins v. Moses H. Cone Memorial Hospital. There is a need for equality among the blacks and whites living as American citizens despite having different backgrounds, or</w:t>
      </w:r>
      <w:r w:rsidR="001A6D50">
        <w:rPr>
          <w:rFonts w:ascii="Times New Roman" w:hAnsi="Times New Roman" w:cs="Times New Roman"/>
          <w:sz w:val="24"/>
          <w:szCs w:val="24"/>
          <w:lang w:val="en-US"/>
        </w:rPr>
        <w:t>igins, and colors (Tillich, 2015</w:t>
      </w:r>
      <w:r w:rsidRPr="00A71DE1">
        <w:rPr>
          <w:rFonts w:ascii="Times New Roman" w:hAnsi="Times New Roman" w:cs="Times New Roman"/>
          <w:sz w:val="24"/>
          <w:szCs w:val="24"/>
          <w:lang w:val="en-US"/>
        </w:rPr>
        <w:t>). In other words, the public health sector should be an avenue that advocates for justice and eq</w:t>
      </w:r>
      <w:r w:rsidR="00D330FA" w:rsidRPr="00A71DE1">
        <w:rPr>
          <w:rFonts w:ascii="Times New Roman" w:hAnsi="Times New Roman" w:cs="Times New Roman"/>
          <w:sz w:val="24"/>
          <w:szCs w:val="24"/>
          <w:lang w:val="en-US"/>
        </w:rPr>
        <w:t>uality, just as Tillich explains in</w:t>
      </w:r>
      <w:r w:rsidRPr="00A71DE1">
        <w:rPr>
          <w:rFonts w:ascii="Times New Roman" w:hAnsi="Times New Roman" w:cs="Times New Roman"/>
          <w:sz w:val="24"/>
          <w:szCs w:val="24"/>
          <w:lang w:val="en-US"/>
        </w:rPr>
        <w:t xml:space="preserve"> his framework. On the same note, love promotes the dignity of human beings, and the same concept can be used in advocating for rights. Laws provided to allow equal treatment with different public accommodations is aimed to promote humanity. For that reason, Tillich’s structure mainly call</w:t>
      </w:r>
      <w:r w:rsidR="00D330FA" w:rsidRPr="00A71DE1">
        <w:rPr>
          <w:rFonts w:ascii="Times New Roman" w:hAnsi="Times New Roman" w:cs="Times New Roman"/>
          <w:sz w:val="24"/>
          <w:szCs w:val="24"/>
          <w:lang w:val="en-US"/>
        </w:rPr>
        <w:t xml:space="preserve">s for the recognition of ethics especially in how human beings relate. </w:t>
      </w: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D330FA" w:rsidRPr="00A71DE1" w:rsidRDefault="00D330FA" w:rsidP="007B0684">
      <w:pPr>
        <w:spacing w:line="480" w:lineRule="auto"/>
        <w:rPr>
          <w:rFonts w:ascii="Times New Roman" w:hAnsi="Times New Roman" w:cs="Times New Roman"/>
          <w:sz w:val="24"/>
          <w:szCs w:val="24"/>
          <w:lang w:val="en-US"/>
        </w:rPr>
      </w:pPr>
    </w:p>
    <w:p w:rsidR="00B24C2F" w:rsidRPr="00A71DE1" w:rsidRDefault="00B24C2F" w:rsidP="00D330FA">
      <w:pPr>
        <w:spacing w:line="480" w:lineRule="auto"/>
        <w:jc w:val="center"/>
        <w:rPr>
          <w:rFonts w:ascii="Times New Roman" w:hAnsi="Times New Roman" w:cs="Times New Roman"/>
          <w:sz w:val="24"/>
          <w:szCs w:val="24"/>
          <w:lang w:val="en-US"/>
        </w:rPr>
      </w:pPr>
      <w:r w:rsidRPr="00A71DE1">
        <w:rPr>
          <w:rFonts w:ascii="Times New Roman" w:hAnsi="Times New Roman" w:cs="Times New Roman"/>
          <w:sz w:val="24"/>
          <w:szCs w:val="24"/>
          <w:lang w:val="en-US"/>
        </w:rPr>
        <w:lastRenderedPageBreak/>
        <w:t>References</w:t>
      </w:r>
    </w:p>
    <w:p w:rsidR="00C644A0" w:rsidRPr="00A71DE1" w:rsidRDefault="001A6D50" w:rsidP="00D330FA">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Reynolds, P. P. (2017</w:t>
      </w:r>
      <w:r w:rsidR="00C644A0" w:rsidRPr="00A71DE1">
        <w:rPr>
          <w:rFonts w:ascii="Times New Roman" w:hAnsi="Times New Roman" w:cs="Times New Roman"/>
          <w:sz w:val="24"/>
          <w:szCs w:val="24"/>
          <w:shd w:val="clear" w:color="auto" w:fill="FFFFFF"/>
        </w:rPr>
        <w:t>). Hospitals and civil rights, 1945-1963: the case of Simkins v Moses H. Cone Memorial Hospital. </w:t>
      </w:r>
      <w:r w:rsidR="00C644A0" w:rsidRPr="00A71DE1">
        <w:rPr>
          <w:rFonts w:ascii="Times New Roman" w:hAnsi="Times New Roman" w:cs="Times New Roman"/>
          <w:i/>
          <w:iCs/>
          <w:sz w:val="24"/>
          <w:szCs w:val="24"/>
          <w:shd w:val="clear" w:color="auto" w:fill="FFFFFF"/>
        </w:rPr>
        <w:t>Annals of internal medicine</w:t>
      </w:r>
      <w:r w:rsidR="00C644A0" w:rsidRPr="00A71DE1">
        <w:rPr>
          <w:rFonts w:ascii="Times New Roman" w:hAnsi="Times New Roman" w:cs="Times New Roman"/>
          <w:sz w:val="24"/>
          <w:szCs w:val="24"/>
          <w:shd w:val="clear" w:color="auto" w:fill="FFFFFF"/>
        </w:rPr>
        <w:t>, </w:t>
      </w:r>
      <w:r w:rsidR="00C644A0" w:rsidRPr="00A71DE1">
        <w:rPr>
          <w:rFonts w:ascii="Times New Roman" w:hAnsi="Times New Roman" w:cs="Times New Roman"/>
          <w:i/>
          <w:iCs/>
          <w:sz w:val="24"/>
          <w:szCs w:val="24"/>
          <w:shd w:val="clear" w:color="auto" w:fill="FFFFFF"/>
        </w:rPr>
        <w:t>126</w:t>
      </w:r>
      <w:r w:rsidR="00C644A0" w:rsidRPr="00A71DE1">
        <w:rPr>
          <w:rFonts w:ascii="Times New Roman" w:hAnsi="Times New Roman" w:cs="Times New Roman"/>
          <w:sz w:val="24"/>
          <w:szCs w:val="24"/>
          <w:shd w:val="clear" w:color="auto" w:fill="FFFFFF"/>
        </w:rPr>
        <w:t>(11), 898-906.</w:t>
      </w:r>
    </w:p>
    <w:p w:rsidR="00C644A0" w:rsidRPr="00A71DE1" w:rsidRDefault="00C644A0" w:rsidP="00D330FA">
      <w:pPr>
        <w:spacing w:line="480" w:lineRule="auto"/>
        <w:ind w:left="720" w:hanging="720"/>
        <w:rPr>
          <w:rFonts w:ascii="Times New Roman" w:hAnsi="Times New Roman" w:cs="Times New Roman"/>
          <w:sz w:val="24"/>
          <w:szCs w:val="24"/>
          <w:shd w:val="clear" w:color="auto" w:fill="FFFFFF"/>
        </w:rPr>
      </w:pPr>
      <w:r w:rsidRPr="00A71DE1">
        <w:rPr>
          <w:rFonts w:ascii="Times New Roman" w:hAnsi="Times New Roman" w:cs="Times New Roman"/>
          <w:sz w:val="24"/>
          <w:szCs w:val="24"/>
          <w:shd w:val="clear" w:color="auto" w:fill="FFFFFF"/>
        </w:rPr>
        <w:t>Showalter, J. S. (2012). </w:t>
      </w:r>
      <w:r w:rsidRPr="00A71DE1">
        <w:rPr>
          <w:rFonts w:ascii="Times New Roman" w:hAnsi="Times New Roman" w:cs="Times New Roman"/>
          <w:i/>
          <w:iCs/>
          <w:sz w:val="24"/>
          <w:szCs w:val="24"/>
          <w:shd w:val="clear" w:color="auto" w:fill="FFFFFF"/>
        </w:rPr>
        <w:t>The law of healthcare administration</w:t>
      </w:r>
      <w:r w:rsidRPr="00A71DE1">
        <w:rPr>
          <w:rFonts w:ascii="Times New Roman" w:hAnsi="Times New Roman" w:cs="Times New Roman"/>
          <w:sz w:val="24"/>
          <w:szCs w:val="24"/>
          <w:shd w:val="clear" w:color="auto" w:fill="FFFFFF"/>
        </w:rPr>
        <w:t>. (7</w:t>
      </w:r>
      <w:r w:rsidRPr="00A71DE1">
        <w:rPr>
          <w:rFonts w:ascii="Times New Roman" w:hAnsi="Times New Roman" w:cs="Times New Roman"/>
          <w:sz w:val="24"/>
          <w:szCs w:val="24"/>
          <w:shd w:val="clear" w:color="auto" w:fill="FFFFFF"/>
          <w:vertAlign w:val="superscript"/>
        </w:rPr>
        <w:t>th</w:t>
      </w:r>
      <w:r w:rsidRPr="00A71DE1">
        <w:rPr>
          <w:rFonts w:ascii="Times New Roman" w:hAnsi="Times New Roman" w:cs="Times New Roman"/>
          <w:sz w:val="24"/>
          <w:szCs w:val="24"/>
          <w:shd w:val="clear" w:color="auto" w:fill="FFFFFF"/>
        </w:rPr>
        <w:t xml:space="preserve"> ed.). Chicago, IL: Health Administration Press.ISBN: 978-1-56793-644-5.</w:t>
      </w:r>
    </w:p>
    <w:p w:rsidR="00C644A0" w:rsidRPr="00A71DE1" w:rsidRDefault="001A6D50" w:rsidP="00D330FA">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Tillich, P. (2015</w:t>
      </w:r>
      <w:r w:rsidR="00C644A0" w:rsidRPr="00A71DE1">
        <w:rPr>
          <w:rFonts w:ascii="Times New Roman" w:hAnsi="Times New Roman" w:cs="Times New Roman"/>
          <w:sz w:val="24"/>
          <w:szCs w:val="24"/>
          <w:shd w:val="clear" w:color="auto" w:fill="FFFFFF"/>
        </w:rPr>
        <w:t>). </w:t>
      </w:r>
      <w:r w:rsidR="00C644A0" w:rsidRPr="00A71DE1">
        <w:rPr>
          <w:rFonts w:ascii="Times New Roman" w:hAnsi="Times New Roman" w:cs="Times New Roman"/>
          <w:i/>
          <w:iCs/>
          <w:sz w:val="24"/>
          <w:szCs w:val="24"/>
          <w:shd w:val="clear" w:color="auto" w:fill="FFFFFF"/>
        </w:rPr>
        <w:t>Love, power, and justice: Ontological analyses and ethical applications</w:t>
      </w:r>
      <w:r w:rsidR="00C644A0" w:rsidRPr="00A71DE1">
        <w:rPr>
          <w:rFonts w:ascii="Times New Roman" w:hAnsi="Times New Roman" w:cs="Times New Roman"/>
          <w:sz w:val="24"/>
          <w:szCs w:val="24"/>
          <w:shd w:val="clear" w:color="auto" w:fill="FFFFFF"/>
        </w:rPr>
        <w:t xml:space="preserve"> (Vol. 38). Oxford University Press.New York, NY: Oxford University Press ISBN: 9780195002225.  </w:t>
      </w:r>
      <w:bookmarkStart w:id="0" w:name="_GoBack"/>
      <w:bookmarkEnd w:id="0"/>
    </w:p>
    <w:sectPr w:rsidR="00C644A0" w:rsidRPr="00A71DE1" w:rsidSect="007B068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2EF" w:rsidRDefault="00FD52EF" w:rsidP="007B0684">
      <w:pPr>
        <w:spacing w:after="0" w:line="240" w:lineRule="auto"/>
      </w:pPr>
      <w:r>
        <w:separator/>
      </w:r>
    </w:p>
  </w:endnote>
  <w:endnote w:type="continuationSeparator" w:id="1">
    <w:p w:rsidR="00FD52EF" w:rsidRDefault="00FD52EF" w:rsidP="007B06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2EF" w:rsidRDefault="00FD52EF" w:rsidP="007B0684">
      <w:pPr>
        <w:spacing w:after="0" w:line="240" w:lineRule="auto"/>
      </w:pPr>
      <w:r>
        <w:separator/>
      </w:r>
    </w:p>
  </w:footnote>
  <w:footnote w:type="continuationSeparator" w:id="1">
    <w:p w:rsidR="00FD52EF" w:rsidRDefault="00FD52EF" w:rsidP="007B06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23939486"/>
      <w:docPartObj>
        <w:docPartGallery w:val="Page Numbers (Top of Page)"/>
        <w:docPartUnique/>
      </w:docPartObj>
    </w:sdtPr>
    <w:sdtEndPr>
      <w:rPr>
        <w:noProof/>
      </w:rPr>
    </w:sdtEndPr>
    <w:sdtContent>
      <w:p w:rsidR="007B0684" w:rsidRPr="007B0684" w:rsidRDefault="007B0684" w:rsidP="007B0684">
        <w:pPr>
          <w:pStyle w:val="Header"/>
          <w:spacing w:line="480" w:lineRule="auto"/>
          <w:rPr>
            <w:rFonts w:ascii="Times New Roman" w:hAnsi="Times New Roman" w:cs="Times New Roman"/>
            <w:sz w:val="24"/>
            <w:szCs w:val="24"/>
          </w:rPr>
        </w:pPr>
        <w:r w:rsidRPr="007B0684">
          <w:rPr>
            <w:rFonts w:ascii="Times New Roman" w:hAnsi="Times New Roman" w:cs="Times New Roman"/>
            <w:sz w:val="24"/>
            <w:szCs w:val="24"/>
          </w:rPr>
          <w:t>HEALTHCARE, ADMINISTRATION AND LAWS</w:t>
        </w:r>
        <w:r w:rsidR="001A6D50">
          <w:rPr>
            <w:rFonts w:ascii="Times New Roman" w:hAnsi="Times New Roman" w:cs="Times New Roman"/>
            <w:sz w:val="24"/>
            <w:szCs w:val="24"/>
          </w:rPr>
          <w:t xml:space="preserve">                                                              </w:t>
        </w:r>
        <w:r w:rsidR="00517439" w:rsidRPr="007B0684">
          <w:rPr>
            <w:rFonts w:ascii="Times New Roman" w:hAnsi="Times New Roman" w:cs="Times New Roman"/>
            <w:sz w:val="24"/>
            <w:szCs w:val="24"/>
          </w:rPr>
          <w:fldChar w:fldCharType="begin"/>
        </w:r>
        <w:r w:rsidRPr="007B0684">
          <w:rPr>
            <w:rFonts w:ascii="Times New Roman" w:hAnsi="Times New Roman" w:cs="Times New Roman"/>
            <w:sz w:val="24"/>
            <w:szCs w:val="24"/>
          </w:rPr>
          <w:instrText xml:space="preserve"> PAGE   \* MERGEFORMAT </w:instrText>
        </w:r>
        <w:r w:rsidR="00517439" w:rsidRPr="007B0684">
          <w:rPr>
            <w:rFonts w:ascii="Times New Roman" w:hAnsi="Times New Roman" w:cs="Times New Roman"/>
            <w:sz w:val="24"/>
            <w:szCs w:val="24"/>
          </w:rPr>
          <w:fldChar w:fldCharType="separate"/>
        </w:r>
        <w:r w:rsidR="00147565">
          <w:rPr>
            <w:rFonts w:ascii="Times New Roman" w:hAnsi="Times New Roman" w:cs="Times New Roman"/>
            <w:noProof/>
            <w:sz w:val="24"/>
            <w:szCs w:val="24"/>
          </w:rPr>
          <w:t>6</w:t>
        </w:r>
        <w:r w:rsidR="00517439" w:rsidRPr="007B068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684" w:rsidRPr="007B0684" w:rsidRDefault="007B0684" w:rsidP="007B0684">
    <w:pPr>
      <w:pStyle w:val="Header"/>
      <w:spacing w:line="480" w:lineRule="auto"/>
      <w:rPr>
        <w:rFonts w:ascii="Times New Roman" w:hAnsi="Times New Roman" w:cs="Times New Roman"/>
        <w:sz w:val="24"/>
        <w:szCs w:val="24"/>
      </w:rPr>
    </w:pPr>
    <w:r w:rsidRPr="007B0684">
      <w:rPr>
        <w:rFonts w:ascii="Times New Roman" w:hAnsi="Times New Roman" w:cs="Times New Roman"/>
        <w:sz w:val="24"/>
        <w:szCs w:val="24"/>
      </w:rPr>
      <w:t>Running head: HEALTHCARE, ADMINISTRATION AND LAWS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2F6D"/>
    <w:rsid w:val="00074E6F"/>
    <w:rsid w:val="00116969"/>
    <w:rsid w:val="00147565"/>
    <w:rsid w:val="001A6D50"/>
    <w:rsid w:val="001D7C9C"/>
    <w:rsid w:val="00203CC7"/>
    <w:rsid w:val="002670ED"/>
    <w:rsid w:val="002803C7"/>
    <w:rsid w:val="002863CD"/>
    <w:rsid w:val="0029688A"/>
    <w:rsid w:val="0034328E"/>
    <w:rsid w:val="003B1D6D"/>
    <w:rsid w:val="00422860"/>
    <w:rsid w:val="00517439"/>
    <w:rsid w:val="00532291"/>
    <w:rsid w:val="005A2F6D"/>
    <w:rsid w:val="005E5C22"/>
    <w:rsid w:val="00644919"/>
    <w:rsid w:val="006F36F2"/>
    <w:rsid w:val="00702D8C"/>
    <w:rsid w:val="00764297"/>
    <w:rsid w:val="007B0684"/>
    <w:rsid w:val="007F2E5C"/>
    <w:rsid w:val="00806FFB"/>
    <w:rsid w:val="00824F24"/>
    <w:rsid w:val="0085562D"/>
    <w:rsid w:val="008A6109"/>
    <w:rsid w:val="009224A0"/>
    <w:rsid w:val="00927786"/>
    <w:rsid w:val="00A05452"/>
    <w:rsid w:val="00A05739"/>
    <w:rsid w:val="00A26551"/>
    <w:rsid w:val="00A425D8"/>
    <w:rsid w:val="00A71DE1"/>
    <w:rsid w:val="00A730F6"/>
    <w:rsid w:val="00AC1394"/>
    <w:rsid w:val="00AE2660"/>
    <w:rsid w:val="00B24C2F"/>
    <w:rsid w:val="00B7658B"/>
    <w:rsid w:val="00B80DF7"/>
    <w:rsid w:val="00C15A76"/>
    <w:rsid w:val="00C644A0"/>
    <w:rsid w:val="00CB475B"/>
    <w:rsid w:val="00CE2501"/>
    <w:rsid w:val="00D0421A"/>
    <w:rsid w:val="00D330FA"/>
    <w:rsid w:val="00DF5DA0"/>
    <w:rsid w:val="00ED7331"/>
    <w:rsid w:val="00FD5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5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684"/>
  </w:style>
  <w:style w:type="paragraph" w:styleId="Footer">
    <w:name w:val="footer"/>
    <w:basedOn w:val="Normal"/>
    <w:link w:val="FooterChar"/>
    <w:uiPriority w:val="99"/>
    <w:unhideWhenUsed/>
    <w:rsid w:val="007B0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6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2019-06-26T01:56:00Z</dcterms:created>
  <dcterms:modified xsi:type="dcterms:W3CDTF">2019-06-26T01:56:00Z</dcterms:modified>
</cp:coreProperties>
</file>